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02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1970"/>
        <w:gridCol w:w="2306"/>
        <w:gridCol w:w="2664"/>
      </w:tblGrid>
      <w:tr w:rsidR="008A380F" w:rsidTr="008A380F">
        <w:trPr>
          <w:trHeight w:val="1253"/>
        </w:trPr>
        <w:tc>
          <w:tcPr>
            <w:tcW w:w="2312" w:type="dxa"/>
            <w:vMerge w:val="restart"/>
          </w:tcPr>
          <w:p w:rsidR="008A380F" w:rsidRDefault="008A380F" w:rsidP="008A380F">
            <w:pPr>
              <w:pStyle w:val="NormalWeb"/>
              <w:jc w:val="center"/>
              <w:rPr>
                <w:b/>
                <w:color w:val="000000"/>
                <w:sz w:val="24"/>
                <w:szCs w:val="24"/>
                <w:u w:val="single"/>
                <w:lang w:val="sq-AL"/>
              </w:rPr>
            </w:pPr>
            <w:r>
              <w:rPr>
                <w:b/>
                <w:noProof/>
                <w:color w:val="000000"/>
                <w:sz w:val="24"/>
                <w:szCs w:val="24"/>
                <w:u w:val="singl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-2059940</wp:posOffset>
                  </wp:positionV>
                  <wp:extent cx="824230" cy="914400"/>
                  <wp:effectExtent l="19050" t="0" r="0" b="0"/>
                  <wp:wrapNone/>
                  <wp:docPr id="3" name="Picture 3" descr="http://www.ks-gov.net/pm/Portals/0/Logot/Stema%20(100px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-gov.net/pm/Portals/0/Logot/Stema%20(100px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380F" w:rsidRPr="00C53659" w:rsidRDefault="008A380F" w:rsidP="008A380F">
            <w:pPr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   </w:t>
            </w:r>
            <w:r w:rsidRPr="00C53659">
              <w:rPr>
                <w:rFonts w:ascii="Book Antiqua" w:hAnsi="Book Antiqua"/>
                <w:b/>
                <w:noProof/>
                <w:sz w:val="26"/>
                <w:szCs w:val="26"/>
              </w:rPr>
              <w:drawing>
                <wp:inline distT="0" distB="0" distL="0" distR="0">
                  <wp:extent cx="676275" cy="752475"/>
                  <wp:effectExtent l="19050" t="0" r="9525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80F" w:rsidRDefault="008A380F" w:rsidP="008A380F">
            <w:pPr>
              <w:rPr>
                <w:b/>
                <w:color w:val="000000"/>
                <w:u w:val="single"/>
                <w:lang w:val="sq-AL"/>
              </w:rPr>
            </w:pPr>
          </w:p>
          <w:p w:rsidR="008A380F" w:rsidRPr="00372859" w:rsidRDefault="008A380F" w:rsidP="008A380F">
            <w:pPr>
              <w:rPr>
                <w:b/>
                <w:color w:val="000000"/>
                <w:lang w:val="sq-AL"/>
              </w:rPr>
            </w:pPr>
            <w:proofErr w:type="spellStart"/>
            <w:r w:rsidRPr="00372859">
              <w:rPr>
                <w:b/>
                <w:color w:val="000000"/>
                <w:lang w:val="sq-AL"/>
              </w:rPr>
              <w:t>Rebublika</w:t>
            </w:r>
            <w:proofErr w:type="spellEnd"/>
            <w:r w:rsidRPr="00372859">
              <w:rPr>
                <w:b/>
                <w:color w:val="000000"/>
                <w:lang w:val="sq-AL"/>
              </w:rPr>
              <w:t xml:space="preserve"> e </w:t>
            </w:r>
            <w:r>
              <w:rPr>
                <w:b/>
                <w:color w:val="000000"/>
                <w:lang w:val="sq-AL"/>
              </w:rPr>
              <w:t>K</w:t>
            </w:r>
            <w:r w:rsidRPr="00372859">
              <w:rPr>
                <w:b/>
                <w:color w:val="000000"/>
                <w:lang w:val="sq-AL"/>
              </w:rPr>
              <w:t>osovës</w:t>
            </w:r>
          </w:p>
        </w:tc>
        <w:tc>
          <w:tcPr>
            <w:tcW w:w="4276" w:type="dxa"/>
            <w:gridSpan w:val="2"/>
          </w:tcPr>
          <w:p w:rsidR="008A380F" w:rsidRPr="00372859" w:rsidRDefault="008A380F" w:rsidP="008A380F">
            <w:pPr>
              <w:pStyle w:val="NormalWeb"/>
              <w:jc w:val="center"/>
              <w:rPr>
                <w:b/>
                <w:color w:val="000000"/>
                <w:sz w:val="22"/>
                <w:szCs w:val="22"/>
                <w:lang w:val="sq-AL"/>
              </w:rPr>
            </w:pPr>
            <w:proofErr w:type="spellStart"/>
            <w:r w:rsidRPr="00372859">
              <w:rPr>
                <w:b/>
                <w:color w:val="000000"/>
                <w:sz w:val="22"/>
                <w:szCs w:val="22"/>
                <w:lang w:val="sq-AL"/>
              </w:rPr>
              <w:t>Drejtorati</w:t>
            </w:r>
            <w:proofErr w:type="spellEnd"/>
            <w:r w:rsidRPr="00372859">
              <w:rPr>
                <w:b/>
                <w:color w:val="000000"/>
                <w:sz w:val="22"/>
                <w:szCs w:val="22"/>
                <w:lang w:val="sq-AL"/>
              </w:rPr>
              <w:t xml:space="preserve"> p</w:t>
            </w:r>
            <w:r>
              <w:rPr>
                <w:b/>
                <w:color w:val="000000"/>
                <w:sz w:val="22"/>
                <w:szCs w:val="22"/>
                <w:lang w:val="sq-AL"/>
              </w:rPr>
              <w:t>ë</w:t>
            </w:r>
            <w:r w:rsidRPr="00372859">
              <w:rPr>
                <w:b/>
                <w:color w:val="000000"/>
                <w:sz w:val="22"/>
                <w:szCs w:val="22"/>
                <w:lang w:val="sq-AL"/>
              </w:rPr>
              <w:t xml:space="preserve">r </w:t>
            </w:r>
            <w:proofErr w:type="spellStart"/>
            <w:r w:rsidRPr="00372859">
              <w:rPr>
                <w:b/>
                <w:color w:val="000000"/>
                <w:sz w:val="22"/>
                <w:szCs w:val="22"/>
                <w:lang w:val="sq-AL"/>
              </w:rPr>
              <w:t>Sherbime</w:t>
            </w:r>
            <w:proofErr w:type="spellEnd"/>
            <w:r w:rsidRPr="00372859">
              <w:rPr>
                <w:b/>
                <w:color w:val="000000"/>
                <w:sz w:val="22"/>
                <w:szCs w:val="22"/>
                <w:lang w:val="sq-AL"/>
              </w:rPr>
              <w:t xml:space="preserve"> publike</w:t>
            </w:r>
          </w:p>
          <w:p w:rsidR="008A380F" w:rsidRPr="006D1B34" w:rsidRDefault="008A380F" w:rsidP="008A380F">
            <w:pPr>
              <w:pStyle w:val="NormalWeb"/>
              <w:jc w:val="center"/>
              <w:rPr>
                <w:b/>
                <w:color w:val="000000"/>
                <w:sz w:val="22"/>
                <w:szCs w:val="22"/>
                <w:lang w:val="sq-AL"/>
              </w:rPr>
            </w:pPr>
            <w:r w:rsidRPr="006D1B34">
              <w:rPr>
                <w:b/>
                <w:color w:val="000000"/>
                <w:sz w:val="22"/>
                <w:szCs w:val="22"/>
                <w:lang w:val="sq-AL"/>
              </w:rPr>
              <w:t xml:space="preserve">Mbrojtje dhe </w:t>
            </w:r>
            <w:proofErr w:type="spellStart"/>
            <w:r w:rsidRPr="006D1B34">
              <w:rPr>
                <w:b/>
                <w:color w:val="000000"/>
                <w:sz w:val="22"/>
                <w:szCs w:val="22"/>
                <w:lang w:val="sq-AL"/>
              </w:rPr>
              <w:t>Spetim</w:t>
            </w:r>
            <w:proofErr w:type="spellEnd"/>
          </w:p>
          <w:p w:rsidR="008A380F" w:rsidRPr="006D1B34" w:rsidRDefault="008A380F" w:rsidP="008A380F">
            <w:pPr>
              <w:jc w:val="center"/>
              <w:rPr>
                <w:b/>
                <w:color w:val="000000"/>
                <w:sz w:val="18"/>
                <w:szCs w:val="18"/>
                <w:lang w:val="sq-AL"/>
              </w:rPr>
            </w:pPr>
            <w:proofErr w:type="spellStart"/>
            <w:r w:rsidRPr="006D1B34">
              <w:rPr>
                <w:b/>
                <w:color w:val="000000"/>
                <w:sz w:val="18"/>
                <w:szCs w:val="18"/>
                <w:lang w:val="sq-AL"/>
              </w:rPr>
              <w:t>Sherbimi</w:t>
            </w:r>
            <w:proofErr w:type="spellEnd"/>
            <w:r w:rsidRPr="006D1B34">
              <w:rPr>
                <w:b/>
                <w:color w:val="000000"/>
                <w:sz w:val="18"/>
                <w:szCs w:val="18"/>
                <w:lang w:val="sq-AL"/>
              </w:rPr>
              <w:t xml:space="preserve"> zjarrfikësve dhe </w:t>
            </w:r>
            <w:proofErr w:type="spellStart"/>
            <w:r w:rsidRPr="006D1B34">
              <w:rPr>
                <w:b/>
                <w:color w:val="000000"/>
                <w:sz w:val="18"/>
                <w:szCs w:val="18"/>
                <w:lang w:val="sq-AL"/>
              </w:rPr>
              <w:t>Shpetimit</w:t>
            </w:r>
            <w:proofErr w:type="spellEnd"/>
          </w:p>
          <w:p w:rsidR="008A380F" w:rsidRPr="00372859" w:rsidRDefault="008A380F" w:rsidP="008A380F">
            <w:pPr>
              <w:jc w:val="center"/>
              <w:rPr>
                <w:b/>
                <w:color w:val="000000"/>
                <w:u w:val="single"/>
                <w:lang w:val="sq-AL"/>
              </w:rPr>
            </w:pPr>
            <w:r w:rsidRPr="006D1B34">
              <w:rPr>
                <w:b/>
                <w:color w:val="000000"/>
                <w:sz w:val="18"/>
                <w:szCs w:val="18"/>
                <w:lang w:val="sq-AL"/>
              </w:rPr>
              <w:t>Zyra e parandalimit dhe hulumtimit</w:t>
            </w:r>
            <w:r w:rsidRPr="006D1B34">
              <w:rPr>
                <w:b/>
                <w:color w:val="000000"/>
                <w:sz w:val="18"/>
                <w:szCs w:val="18"/>
                <w:u w:val="single"/>
                <w:lang w:val="sq-AL"/>
              </w:rPr>
              <w:t xml:space="preserve"> </w:t>
            </w:r>
            <w:r w:rsidRPr="006D1B34">
              <w:rPr>
                <w:b/>
                <w:color w:val="000000"/>
                <w:sz w:val="18"/>
                <w:szCs w:val="18"/>
                <w:lang w:val="sq-AL"/>
              </w:rPr>
              <w:t>të</w:t>
            </w:r>
            <w:r w:rsidRPr="00372859">
              <w:rPr>
                <w:b/>
                <w:color w:val="000000"/>
                <w:lang w:val="sq-AL"/>
              </w:rPr>
              <w:t xml:space="preserve"> zjarrit</w:t>
            </w:r>
          </w:p>
        </w:tc>
        <w:tc>
          <w:tcPr>
            <w:tcW w:w="2664" w:type="dxa"/>
            <w:vMerge w:val="restart"/>
          </w:tcPr>
          <w:p w:rsidR="008A380F" w:rsidRDefault="008A380F" w:rsidP="008A380F">
            <w:pPr>
              <w:rPr>
                <w:b/>
                <w:color w:val="000000"/>
                <w:u w:val="single"/>
                <w:lang w:val="sq-AL"/>
              </w:rPr>
            </w:pPr>
            <w:r>
              <w:rPr>
                <w:b/>
                <w:noProof/>
                <w:u w:val="singl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-2059940</wp:posOffset>
                  </wp:positionV>
                  <wp:extent cx="697230" cy="914400"/>
                  <wp:effectExtent l="19050" t="0" r="7620" b="0"/>
                  <wp:wrapNone/>
                  <wp:docPr id="2" name="Picture 2" descr="Emblem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380F" w:rsidRDefault="008A380F" w:rsidP="008A380F">
            <w:pPr>
              <w:rPr>
                <w:b/>
                <w:color w:val="000000"/>
                <w:u w:val="single"/>
                <w:lang w:val="sq-AL"/>
              </w:rPr>
            </w:pPr>
            <w:r>
              <w:rPr>
                <w:b/>
                <w:noProof/>
                <w:color w:val="000000"/>
                <w:u w:val="singl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455930</wp:posOffset>
                  </wp:positionH>
                  <wp:positionV relativeFrom="paragraph">
                    <wp:posOffset>15875</wp:posOffset>
                  </wp:positionV>
                  <wp:extent cx="793750" cy="800100"/>
                  <wp:effectExtent l="0" t="0" r="0" b="0"/>
                  <wp:wrapNone/>
                  <wp:docPr id="1" name="Picture 2" descr="Embl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A380F" w:rsidRDefault="008A380F" w:rsidP="008A380F">
            <w:pPr>
              <w:rPr>
                <w:b/>
                <w:color w:val="000000"/>
                <w:u w:val="single"/>
                <w:lang w:val="sq-AL"/>
              </w:rPr>
            </w:pPr>
          </w:p>
          <w:p w:rsidR="008A380F" w:rsidRDefault="008A380F" w:rsidP="008A380F">
            <w:pPr>
              <w:rPr>
                <w:b/>
                <w:color w:val="000000"/>
                <w:u w:val="single"/>
                <w:lang w:val="sq-AL"/>
              </w:rPr>
            </w:pPr>
          </w:p>
          <w:p w:rsidR="008A380F" w:rsidRDefault="008A380F" w:rsidP="008A380F">
            <w:pPr>
              <w:rPr>
                <w:b/>
                <w:color w:val="000000"/>
                <w:u w:val="single"/>
                <w:lang w:val="sq-AL"/>
              </w:rPr>
            </w:pPr>
          </w:p>
          <w:p w:rsidR="008A380F" w:rsidRDefault="008A380F" w:rsidP="008A380F">
            <w:pPr>
              <w:rPr>
                <w:b/>
                <w:color w:val="000000"/>
                <w:u w:val="single"/>
                <w:lang w:val="sq-AL"/>
              </w:rPr>
            </w:pPr>
          </w:p>
          <w:p w:rsidR="008A380F" w:rsidRDefault="008A380F" w:rsidP="008A380F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  <w:lang w:val="sq-AL"/>
              </w:rPr>
              <w:t xml:space="preserve">         </w:t>
            </w:r>
          </w:p>
          <w:p w:rsidR="008A380F" w:rsidRDefault="008A380F" w:rsidP="008A380F">
            <w:pPr>
              <w:rPr>
                <w:b/>
                <w:color w:val="000000"/>
                <w:lang w:val="sq-AL"/>
              </w:rPr>
            </w:pPr>
          </w:p>
          <w:p w:rsidR="008A380F" w:rsidRPr="00372859" w:rsidRDefault="008A380F" w:rsidP="008A380F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  <w:lang w:val="sq-AL"/>
              </w:rPr>
              <w:t xml:space="preserve">          </w:t>
            </w:r>
            <w:r w:rsidRPr="00372859">
              <w:rPr>
                <w:b/>
                <w:color w:val="000000"/>
                <w:lang w:val="sq-AL"/>
              </w:rPr>
              <w:t>Komun</w:t>
            </w:r>
            <w:r>
              <w:rPr>
                <w:b/>
                <w:color w:val="000000"/>
                <w:lang w:val="sq-AL"/>
              </w:rPr>
              <w:t>a e</w:t>
            </w:r>
            <w:r w:rsidRPr="00372859">
              <w:rPr>
                <w:b/>
                <w:color w:val="000000"/>
                <w:lang w:val="sq-AL"/>
              </w:rPr>
              <w:t xml:space="preserve"> Istog</w:t>
            </w:r>
            <w:r>
              <w:rPr>
                <w:b/>
                <w:color w:val="000000"/>
                <w:lang w:val="sq-AL"/>
              </w:rPr>
              <w:t>ut</w:t>
            </w:r>
          </w:p>
        </w:tc>
      </w:tr>
      <w:tr w:rsidR="008A380F" w:rsidTr="008A380F">
        <w:trPr>
          <w:trHeight w:val="713"/>
        </w:trPr>
        <w:tc>
          <w:tcPr>
            <w:tcW w:w="2312" w:type="dxa"/>
            <w:vMerge/>
          </w:tcPr>
          <w:p w:rsidR="008A380F" w:rsidRDefault="008A380F" w:rsidP="008A380F">
            <w:pPr>
              <w:pStyle w:val="NormalWeb"/>
              <w:jc w:val="center"/>
              <w:rPr>
                <w:b/>
                <w:noProof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70" w:type="dxa"/>
          </w:tcPr>
          <w:p w:rsidR="008A380F" w:rsidRDefault="008A380F" w:rsidP="008A380F">
            <w:pPr>
              <w:rPr>
                <w:rFonts w:ascii="Albertus Extra Bold" w:hAnsi="Albertus Extra Bold"/>
                <w:b/>
              </w:rPr>
            </w:pPr>
          </w:p>
          <w:p w:rsidR="008A380F" w:rsidRDefault="008A380F" w:rsidP="008A380F">
            <w:pPr>
              <w:jc w:val="center"/>
              <w:rPr>
                <w:b/>
                <w:color w:val="000000"/>
                <w:lang w:val="sq-AL"/>
              </w:rPr>
            </w:pPr>
          </w:p>
          <w:p w:rsidR="008A380F" w:rsidRDefault="008A380F" w:rsidP="008A380F">
            <w:pPr>
              <w:rPr>
                <w:b/>
                <w:color w:val="000000"/>
                <w:lang w:val="sq-AL"/>
              </w:rPr>
            </w:pPr>
            <w:r>
              <w:rPr>
                <w:b/>
                <w:color w:val="000000"/>
                <w:lang w:val="sq-AL"/>
              </w:rPr>
              <w:t xml:space="preserve">08 Nr: </w:t>
            </w:r>
            <w:r w:rsidR="00F02817">
              <w:rPr>
                <w:b/>
                <w:color w:val="000000"/>
                <w:lang w:val="sq-AL"/>
              </w:rPr>
              <w:t>544</w:t>
            </w:r>
            <w:r>
              <w:rPr>
                <w:b/>
                <w:color w:val="000000"/>
                <w:lang w:val="sq-AL"/>
              </w:rPr>
              <w:t xml:space="preserve"> /’18</w:t>
            </w:r>
          </w:p>
          <w:p w:rsidR="008A380F" w:rsidRPr="00372859" w:rsidRDefault="008A380F" w:rsidP="008A380F">
            <w:pPr>
              <w:rPr>
                <w:b/>
                <w:color w:val="000000"/>
                <w:lang w:val="sq-AL"/>
              </w:rPr>
            </w:pPr>
          </w:p>
        </w:tc>
        <w:tc>
          <w:tcPr>
            <w:tcW w:w="2306" w:type="dxa"/>
          </w:tcPr>
          <w:p w:rsidR="008A380F" w:rsidRDefault="008A380F" w:rsidP="008A380F">
            <w:pPr>
              <w:widowControl/>
              <w:overflowPunct/>
              <w:autoSpaceDE/>
              <w:autoSpaceDN/>
              <w:adjustRightInd/>
              <w:rPr>
                <w:b/>
                <w:color w:val="000000"/>
                <w:lang w:val="sq-AL"/>
              </w:rPr>
            </w:pPr>
          </w:p>
          <w:p w:rsidR="008A380F" w:rsidRDefault="008A380F" w:rsidP="008A380F">
            <w:pPr>
              <w:jc w:val="center"/>
              <w:rPr>
                <w:b/>
                <w:color w:val="000000"/>
                <w:lang w:val="sq-AL"/>
              </w:rPr>
            </w:pPr>
          </w:p>
          <w:p w:rsidR="008A380F" w:rsidRDefault="008A380F" w:rsidP="004B7503">
            <w:pPr>
              <w:ind w:left="111"/>
              <w:rPr>
                <w:b/>
                <w:color w:val="000000"/>
                <w:lang w:val="sq-AL"/>
              </w:rPr>
            </w:pPr>
            <w:r w:rsidRPr="00372859">
              <w:rPr>
                <w:b/>
                <w:color w:val="000000"/>
                <w:lang w:val="sq-AL"/>
              </w:rPr>
              <w:t>Dat</w:t>
            </w:r>
            <w:r>
              <w:rPr>
                <w:b/>
                <w:color w:val="000000"/>
                <w:lang w:val="sq-AL"/>
              </w:rPr>
              <w:t>ë</w:t>
            </w:r>
            <w:r w:rsidRPr="00372859">
              <w:rPr>
                <w:b/>
                <w:color w:val="000000"/>
                <w:lang w:val="sq-AL"/>
              </w:rPr>
              <w:t>:</w:t>
            </w:r>
            <w:r>
              <w:rPr>
                <w:b/>
                <w:color w:val="000000"/>
                <w:lang w:val="sq-AL"/>
              </w:rPr>
              <w:t xml:space="preserve"> 13.12</w:t>
            </w:r>
            <w:r w:rsidRPr="00372859">
              <w:rPr>
                <w:b/>
                <w:color w:val="000000"/>
                <w:lang w:val="sq-AL"/>
              </w:rPr>
              <w:t>.20</w:t>
            </w:r>
            <w:r>
              <w:rPr>
                <w:b/>
                <w:color w:val="000000"/>
                <w:lang w:val="sq-AL"/>
              </w:rPr>
              <w:t>18</w:t>
            </w:r>
          </w:p>
          <w:p w:rsidR="008A380F" w:rsidRPr="00372859" w:rsidRDefault="008A380F" w:rsidP="008A380F">
            <w:pPr>
              <w:rPr>
                <w:b/>
                <w:color w:val="000000"/>
                <w:lang w:val="sq-AL"/>
              </w:rPr>
            </w:pPr>
          </w:p>
        </w:tc>
        <w:tc>
          <w:tcPr>
            <w:tcW w:w="2664" w:type="dxa"/>
            <w:vMerge/>
          </w:tcPr>
          <w:p w:rsidR="008A380F" w:rsidRPr="002776F4" w:rsidRDefault="008A380F" w:rsidP="008A380F">
            <w:pPr>
              <w:rPr>
                <w:b/>
                <w:u w:val="single"/>
                <w:lang w:val="sq-AL"/>
              </w:rPr>
            </w:pPr>
          </w:p>
        </w:tc>
      </w:tr>
    </w:tbl>
    <w:p w:rsidR="00F217BF" w:rsidRPr="00EA45D5" w:rsidRDefault="00F217BF" w:rsidP="00F217BF"/>
    <w:p w:rsidR="002F5FD9" w:rsidRPr="00061294" w:rsidRDefault="002F5FD9" w:rsidP="002F5FD9">
      <w:pPr>
        <w:jc w:val="both"/>
        <w:rPr>
          <w:rStyle w:val="fontstyle01"/>
          <w:sz w:val="22"/>
          <w:szCs w:val="22"/>
        </w:rPr>
      </w:pPr>
      <w:proofErr w:type="spellStart"/>
      <w:r w:rsidRPr="00061294">
        <w:rPr>
          <w:rStyle w:val="fontstyle01"/>
          <w:sz w:val="22"/>
          <w:szCs w:val="22"/>
        </w:rPr>
        <w:t>Bazuar</w:t>
      </w:r>
      <w:proofErr w:type="spellEnd"/>
      <w:r w:rsidRPr="00061294">
        <w:rPr>
          <w:rStyle w:val="fontstyle01"/>
          <w:sz w:val="22"/>
          <w:szCs w:val="22"/>
        </w:rPr>
        <w:t xml:space="preserve"> ne </w:t>
      </w:r>
      <w:proofErr w:type="spellStart"/>
      <w:r w:rsidRPr="00061294">
        <w:rPr>
          <w:rStyle w:val="fontstyle01"/>
          <w:sz w:val="22"/>
          <w:szCs w:val="22"/>
        </w:rPr>
        <w:t>dispozitate</w:t>
      </w:r>
      <w:proofErr w:type="spellEnd"/>
      <w:r w:rsidRPr="00061294">
        <w:rPr>
          <w:rStyle w:val="fontstyle01"/>
          <w:sz w:val="22"/>
          <w:szCs w:val="22"/>
        </w:rPr>
        <w:t xml:space="preserve"> </w:t>
      </w:r>
      <w:proofErr w:type="spellStart"/>
      <w:r w:rsidRPr="00061294">
        <w:rPr>
          <w:rStyle w:val="fontstyle01"/>
          <w:sz w:val="22"/>
          <w:szCs w:val="22"/>
        </w:rPr>
        <w:t>nenit</w:t>
      </w:r>
      <w:proofErr w:type="spellEnd"/>
      <w:r w:rsidRPr="00061294">
        <w:rPr>
          <w:rStyle w:val="fontstyle01"/>
          <w:sz w:val="22"/>
          <w:szCs w:val="22"/>
        </w:rPr>
        <w:t xml:space="preserve"> 17 </w:t>
      </w:r>
      <w:proofErr w:type="spellStart"/>
      <w:r w:rsidRPr="00061294">
        <w:rPr>
          <w:rStyle w:val="fontstyle01"/>
          <w:sz w:val="22"/>
          <w:szCs w:val="22"/>
        </w:rPr>
        <w:t>pika</w:t>
      </w:r>
      <w:proofErr w:type="spellEnd"/>
      <w:r w:rsidRPr="00061294">
        <w:rPr>
          <w:rStyle w:val="fontstyle01"/>
          <w:sz w:val="22"/>
          <w:szCs w:val="22"/>
        </w:rPr>
        <w:t xml:space="preserve"> g e </w:t>
      </w:r>
      <w:proofErr w:type="spellStart"/>
      <w:r w:rsidRPr="00061294">
        <w:rPr>
          <w:rStyle w:val="fontstyle01"/>
          <w:sz w:val="22"/>
          <w:szCs w:val="22"/>
        </w:rPr>
        <w:t>ligjit</w:t>
      </w:r>
      <w:proofErr w:type="spellEnd"/>
      <w:r w:rsidRPr="00061294">
        <w:rPr>
          <w:rStyle w:val="fontstyle01"/>
          <w:sz w:val="22"/>
          <w:szCs w:val="22"/>
        </w:rPr>
        <w:t xml:space="preserve"> per </w:t>
      </w:r>
      <w:proofErr w:type="spellStart"/>
      <w:r w:rsidRPr="00061294">
        <w:rPr>
          <w:rStyle w:val="fontstyle01"/>
          <w:sz w:val="22"/>
          <w:szCs w:val="22"/>
        </w:rPr>
        <w:t>vetëqeverisjen</w:t>
      </w:r>
      <w:proofErr w:type="spellEnd"/>
      <w:r w:rsidRPr="00061294">
        <w:rPr>
          <w:rStyle w:val="fontstyle01"/>
          <w:sz w:val="22"/>
          <w:szCs w:val="22"/>
        </w:rPr>
        <w:t xml:space="preserve"> </w:t>
      </w:r>
      <w:proofErr w:type="spellStart"/>
      <w:r w:rsidRPr="00061294">
        <w:rPr>
          <w:rStyle w:val="fontstyle01"/>
          <w:sz w:val="22"/>
          <w:szCs w:val="22"/>
        </w:rPr>
        <w:t>lokale</w:t>
      </w:r>
      <w:proofErr w:type="spellEnd"/>
      <w:r w:rsidRPr="00061294">
        <w:rPr>
          <w:rStyle w:val="fontstyle01"/>
          <w:sz w:val="22"/>
          <w:szCs w:val="22"/>
        </w:rPr>
        <w:t xml:space="preserve">, </w:t>
      </w:r>
      <w:proofErr w:type="spellStart"/>
      <w:r w:rsidRPr="00061294">
        <w:rPr>
          <w:rStyle w:val="fontstyle01"/>
          <w:sz w:val="22"/>
          <w:szCs w:val="22"/>
        </w:rPr>
        <w:t>nenit</w:t>
      </w:r>
      <w:proofErr w:type="spellEnd"/>
      <w:r w:rsidRPr="00061294">
        <w:rPr>
          <w:rStyle w:val="fontstyle01"/>
          <w:sz w:val="22"/>
          <w:szCs w:val="22"/>
        </w:rPr>
        <w:t xml:space="preserve"> 82 </w:t>
      </w:r>
      <w:proofErr w:type="spellStart"/>
      <w:r w:rsidRPr="00061294">
        <w:rPr>
          <w:rStyle w:val="fontstyle01"/>
          <w:sz w:val="22"/>
          <w:szCs w:val="22"/>
        </w:rPr>
        <w:t>te</w:t>
      </w:r>
      <w:proofErr w:type="spellEnd"/>
      <w:r w:rsidRPr="00061294">
        <w:rPr>
          <w:color w:val="000000"/>
          <w:sz w:val="22"/>
          <w:szCs w:val="22"/>
        </w:rPr>
        <w:br/>
      </w:r>
      <w:proofErr w:type="spellStart"/>
      <w:r w:rsidRPr="00061294">
        <w:rPr>
          <w:rStyle w:val="fontstyle01"/>
          <w:sz w:val="22"/>
          <w:szCs w:val="22"/>
        </w:rPr>
        <w:t>ligjit</w:t>
      </w:r>
      <w:proofErr w:type="spellEnd"/>
      <w:r w:rsidRPr="00061294">
        <w:rPr>
          <w:rStyle w:val="fontstyle01"/>
          <w:sz w:val="22"/>
          <w:szCs w:val="22"/>
        </w:rPr>
        <w:t xml:space="preserve"> </w:t>
      </w:r>
      <w:proofErr w:type="spellStart"/>
      <w:r w:rsidRPr="00061294">
        <w:rPr>
          <w:rStyle w:val="fontstyle01"/>
          <w:sz w:val="22"/>
          <w:szCs w:val="22"/>
        </w:rPr>
        <w:t>për</w:t>
      </w:r>
      <w:proofErr w:type="spellEnd"/>
      <w:r w:rsidRPr="00061294">
        <w:rPr>
          <w:rStyle w:val="fontstyle01"/>
          <w:sz w:val="22"/>
          <w:szCs w:val="22"/>
        </w:rPr>
        <w:t xml:space="preserve"> </w:t>
      </w:r>
      <w:proofErr w:type="spellStart"/>
      <w:r w:rsidRPr="00061294">
        <w:rPr>
          <w:rStyle w:val="fontstyle01"/>
          <w:sz w:val="22"/>
          <w:szCs w:val="22"/>
        </w:rPr>
        <w:t>procedurë</w:t>
      </w:r>
      <w:proofErr w:type="spellEnd"/>
      <w:r w:rsidRPr="00061294">
        <w:rPr>
          <w:rStyle w:val="fontstyle01"/>
          <w:sz w:val="22"/>
          <w:szCs w:val="22"/>
        </w:rPr>
        <w:t xml:space="preserve"> administrative, </w:t>
      </w:r>
      <w:proofErr w:type="spellStart"/>
      <w:r>
        <w:rPr>
          <w:rStyle w:val="fontstyle01"/>
          <w:sz w:val="22"/>
          <w:szCs w:val="22"/>
        </w:rPr>
        <w:t>si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dhe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neneve</w:t>
      </w:r>
      <w:proofErr w:type="spellEnd"/>
      <w:r>
        <w:rPr>
          <w:rStyle w:val="fontstyle01"/>
          <w:sz w:val="22"/>
          <w:szCs w:val="22"/>
        </w:rPr>
        <w:t xml:space="preserve"> 16  </w:t>
      </w:r>
      <w:proofErr w:type="spellStart"/>
      <w:r>
        <w:rPr>
          <w:rStyle w:val="fontstyle01"/>
          <w:sz w:val="22"/>
          <w:szCs w:val="22"/>
        </w:rPr>
        <w:t>pika</w:t>
      </w:r>
      <w:proofErr w:type="spellEnd"/>
      <w:r>
        <w:rPr>
          <w:rStyle w:val="fontstyle01"/>
          <w:sz w:val="22"/>
          <w:szCs w:val="22"/>
        </w:rPr>
        <w:t xml:space="preserve"> 1  </w:t>
      </w:r>
      <w:proofErr w:type="spellStart"/>
      <w:r>
        <w:rPr>
          <w:rStyle w:val="fontstyle01"/>
          <w:sz w:val="22"/>
          <w:szCs w:val="22"/>
        </w:rPr>
        <w:t>dhe</w:t>
      </w:r>
      <w:proofErr w:type="spellEnd"/>
      <w:r>
        <w:rPr>
          <w:rStyle w:val="fontstyle01"/>
          <w:sz w:val="22"/>
          <w:szCs w:val="22"/>
        </w:rPr>
        <w:t xml:space="preserve"> 2  </w:t>
      </w:r>
      <w:proofErr w:type="spellStart"/>
      <w:r>
        <w:rPr>
          <w:rStyle w:val="fontstyle01"/>
          <w:sz w:val="22"/>
          <w:szCs w:val="22"/>
        </w:rPr>
        <w:t>te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ligjit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për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mbrojtje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nga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zjarri</w:t>
      </w:r>
      <w:proofErr w:type="spellEnd"/>
      <w:r>
        <w:rPr>
          <w:rStyle w:val="fontstyle01"/>
          <w:sz w:val="22"/>
          <w:szCs w:val="22"/>
        </w:rPr>
        <w:t xml:space="preserve"> nr; 04/L-12, duke </w:t>
      </w:r>
      <w:proofErr w:type="spellStart"/>
      <w:r>
        <w:rPr>
          <w:rStyle w:val="fontstyle01"/>
          <w:sz w:val="22"/>
          <w:szCs w:val="22"/>
        </w:rPr>
        <w:t>pasur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parasysh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sezonen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dimërore</w:t>
      </w:r>
      <w:proofErr w:type="spellEnd"/>
      <w:r>
        <w:rPr>
          <w:rStyle w:val="fontstyle01"/>
          <w:sz w:val="22"/>
          <w:szCs w:val="22"/>
        </w:rPr>
        <w:t xml:space="preserve">  </w:t>
      </w:r>
      <w:proofErr w:type="spellStart"/>
      <w:r>
        <w:rPr>
          <w:rStyle w:val="fontstyle01"/>
          <w:sz w:val="22"/>
          <w:szCs w:val="22"/>
        </w:rPr>
        <w:t>drejtpria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për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Sherbime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Publike</w:t>
      </w:r>
      <w:proofErr w:type="spellEnd"/>
      <w:r>
        <w:rPr>
          <w:rStyle w:val="fontstyle01"/>
          <w:sz w:val="22"/>
          <w:szCs w:val="22"/>
        </w:rPr>
        <w:t xml:space="preserve">, </w:t>
      </w:r>
      <w:proofErr w:type="spellStart"/>
      <w:r>
        <w:rPr>
          <w:rStyle w:val="fontstyle01"/>
          <w:sz w:val="22"/>
          <w:szCs w:val="22"/>
        </w:rPr>
        <w:t>Mbrojtje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dhe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Shpetim</w:t>
      </w:r>
      <w:proofErr w:type="spellEnd"/>
      <w:r>
        <w:rPr>
          <w:rStyle w:val="fontstyle01"/>
          <w:sz w:val="22"/>
          <w:szCs w:val="22"/>
        </w:rPr>
        <w:t xml:space="preserve">  </w:t>
      </w:r>
      <w:proofErr w:type="spellStart"/>
      <w:r>
        <w:rPr>
          <w:rStyle w:val="fontstyle01"/>
          <w:sz w:val="22"/>
          <w:szCs w:val="22"/>
        </w:rPr>
        <w:t>nxjerr</w:t>
      </w:r>
      <w:proofErr w:type="spellEnd"/>
      <w:r>
        <w:rPr>
          <w:rStyle w:val="fontstyle01"/>
          <w:sz w:val="22"/>
          <w:szCs w:val="22"/>
        </w:rPr>
        <w:t xml:space="preserve"> </w:t>
      </w:r>
      <w:proofErr w:type="spellStart"/>
      <w:r>
        <w:rPr>
          <w:rStyle w:val="fontstyle01"/>
          <w:sz w:val="22"/>
          <w:szCs w:val="22"/>
        </w:rPr>
        <w:t>këtë</w:t>
      </w:r>
      <w:proofErr w:type="spellEnd"/>
      <w:r>
        <w:rPr>
          <w:rStyle w:val="fontstyle01"/>
          <w:sz w:val="22"/>
          <w:szCs w:val="22"/>
        </w:rPr>
        <w:t xml:space="preserve"> :</w:t>
      </w:r>
    </w:p>
    <w:p w:rsidR="002F5FD9" w:rsidRDefault="002F5FD9" w:rsidP="002F5FD9">
      <w:pPr>
        <w:rPr>
          <w:rStyle w:val="fontstyle01"/>
          <w:b/>
        </w:rPr>
      </w:pPr>
      <w:r w:rsidRPr="008C1E2D">
        <w:rPr>
          <w:rStyle w:val="fontstyle01"/>
          <w:b/>
        </w:rPr>
        <w:t xml:space="preserve">                                       </w:t>
      </w:r>
    </w:p>
    <w:p w:rsidR="002F5FD9" w:rsidRPr="008C1E2D" w:rsidRDefault="002F5FD9" w:rsidP="002F5FD9">
      <w:pPr>
        <w:ind w:left="1440" w:firstLine="720"/>
        <w:rPr>
          <w:b/>
          <w:sz w:val="24"/>
          <w:szCs w:val="24"/>
        </w:rPr>
      </w:pPr>
      <w:r w:rsidRPr="008C1E2D">
        <w:rPr>
          <w:rStyle w:val="fontstyle01"/>
          <w:b/>
        </w:rPr>
        <w:t xml:space="preserve">  KOMUNIKATË SENSIBILIZUESE</w:t>
      </w:r>
    </w:p>
    <w:p w:rsidR="00F217BF" w:rsidRDefault="00F217BF" w:rsidP="002F5FD9"/>
    <w:p w:rsidR="002F5FD9" w:rsidRPr="002F5FD9" w:rsidRDefault="002F5FD9" w:rsidP="002F5FD9">
      <w:pPr>
        <w:rPr>
          <w:rFonts w:ascii="Times New Roman" w:hAnsi="Times New Roman" w:cs="Times New Roman"/>
        </w:rPr>
      </w:pPr>
      <w:proofErr w:type="spellStart"/>
      <w:proofErr w:type="gramStart"/>
      <w:r w:rsidRPr="002F5FD9">
        <w:rPr>
          <w:rFonts w:ascii="Times New Roman" w:hAnsi="Times New Roman" w:cs="Times New Roman"/>
        </w:rPr>
        <w:t>Qytetarë</w:t>
      </w:r>
      <w:proofErr w:type="spellEnd"/>
      <w:r w:rsidRPr="002F5FD9">
        <w:rPr>
          <w:rFonts w:ascii="Times New Roman" w:hAnsi="Times New Roman" w:cs="Times New Roman"/>
        </w:rPr>
        <w:t xml:space="preserve">  </w:t>
      </w:r>
      <w:proofErr w:type="spellStart"/>
      <w:r w:rsidRPr="002F5FD9">
        <w:rPr>
          <w:rFonts w:ascii="Times New Roman" w:hAnsi="Times New Roman" w:cs="Times New Roman"/>
        </w:rPr>
        <w:t>te</w:t>
      </w:r>
      <w:proofErr w:type="spellEnd"/>
      <w:proofErr w:type="gram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nderuar</w:t>
      </w:r>
      <w:proofErr w:type="spellEnd"/>
      <w:r w:rsidRPr="002F5FD9">
        <w:rPr>
          <w:rFonts w:ascii="Times New Roman" w:hAnsi="Times New Roman" w:cs="Times New Roman"/>
        </w:rPr>
        <w:t xml:space="preserve"> me </w:t>
      </w:r>
      <w:proofErr w:type="spellStart"/>
      <w:r w:rsidRPr="002F5FD9">
        <w:rPr>
          <w:rFonts w:ascii="Times New Roman" w:hAnsi="Times New Roman" w:cs="Times New Roman"/>
        </w:rPr>
        <w:t>që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jemi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futur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në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sezonin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dimëror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dhe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kjo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sezonë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kerkon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grohjen</w:t>
      </w:r>
      <w:proofErr w:type="spellEnd"/>
      <w:r w:rsidRPr="002F5FD9">
        <w:rPr>
          <w:rFonts w:ascii="Times New Roman" w:hAnsi="Times New Roman" w:cs="Times New Roman"/>
        </w:rPr>
        <w:t xml:space="preserve"> e </w:t>
      </w:r>
      <w:proofErr w:type="spellStart"/>
      <w:r w:rsidRPr="002F5FD9">
        <w:rPr>
          <w:rFonts w:ascii="Times New Roman" w:hAnsi="Times New Roman" w:cs="Times New Roman"/>
        </w:rPr>
        <w:t>ambienteve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tona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është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më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rëndesi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të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dijmë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disa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nga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faktoret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të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cilët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duhet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menjanuar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në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menyrë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qe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ti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shmangemi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fatekeqësive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eventuale</w:t>
      </w:r>
      <w:proofErr w:type="spellEnd"/>
      <w:r w:rsidRPr="002F5FD9">
        <w:rPr>
          <w:rFonts w:ascii="Times New Roman" w:hAnsi="Times New Roman" w:cs="Times New Roman"/>
        </w:rPr>
        <w:t xml:space="preserve">. Me </w:t>
      </w:r>
      <w:proofErr w:type="spellStart"/>
      <w:r w:rsidRPr="002F5FD9">
        <w:rPr>
          <w:rFonts w:ascii="Times New Roman" w:hAnsi="Times New Roman" w:cs="Times New Roman"/>
        </w:rPr>
        <w:t>posht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po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ju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pershkruajm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r w:rsidRPr="002F5FD9">
        <w:rPr>
          <w:rFonts w:ascii="Times New Roman" w:hAnsi="Times New Roman" w:cs="Times New Roman"/>
        </w:rPr>
        <w:t>disa</w:t>
      </w:r>
      <w:proofErr w:type="spellEnd"/>
      <w:r w:rsidRPr="002F5FD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F5FD9">
        <w:rPr>
          <w:rFonts w:ascii="Times New Roman" w:hAnsi="Times New Roman" w:cs="Times New Roman"/>
        </w:rPr>
        <w:t>udhëzime</w:t>
      </w:r>
      <w:proofErr w:type="spellEnd"/>
      <w:r w:rsidRPr="002F5FD9">
        <w:rPr>
          <w:rFonts w:ascii="Times New Roman" w:hAnsi="Times New Roman" w:cs="Times New Roman"/>
        </w:rPr>
        <w:t xml:space="preserve"> :</w:t>
      </w:r>
      <w:proofErr w:type="gramEnd"/>
    </w:p>
    <w:p w:rsidR="002F5FD9" w:rsidRPr="008A380F" w:rsidRDefault="002F5FD9" w:rsidP="002F5FD9">
      <w:pPr>
        <w:pStyle w:val="NoSpacing"/>
        <w:rPr>
          <w:rFonts w:ascii="Times New Roman" w:eastAsia="Times New Roman" w:hAnsi="Times New Roman" w:cs="Times New Roman"/>
          <w:sz w:val="22"/>
          <w:szCs w:val="22"/>
        </w:rPr>
      </w:pPr>
      <w:r w:rsidRPr="008A380F">
        <w:rPr>
          <w:rFonts w:ascii="Times New Roman" w:eastAsia="Times New Roman" w:hAnsi="Times New Roman" w:cs="Times New Roman"/>
          <w:sz w:val="22"/>
          <w:szCs w:val="22"/>
        </w:rPr>
        <w:br/>
      </w:r>
      <w:r w:rsidRPr="008A380F"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Pastroni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oxhaqet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her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qe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vëreni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se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nuk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funksionojn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A380F">
        <w:rPr>
          <w:rFonts w:ascii="Times New Roman" w:eastAsia="Times New Roman" w:hAnsi="Times New Roman" w:cs="Times New Roman"/>
          <w:sz w:val="22"/>
          <w:szCs w:val="22"/>
        </w:rPr>
        <w:t>duhet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proofErr w:type="gramEnd"/>
      <w:r w:rsidRPr="008A380F">
        <w:rPr>
          <w:rFonts w:ascii="Times New Roman" w:eastAsia="Times New Roman" w:hAnsi="Times New Roman" w:cs="Times New Roman"/>
          <w:sz w:val="22"/>
          <w:szCs w:val="22"/>
        </w:rPr>
        <w:t>është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veprimi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lehtë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shtepitë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juaja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private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aobjektet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banimit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kolektiv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),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kujdes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nga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era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ajo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aktivizon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oxhaqet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pa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poastruar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cilat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jan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rrezikshme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2F5FD9" w:rsidRPr="008A380F" w:rsidRDefault="002F5FD9" w:rsidP="002F5FD9">
      <w:pPr>
        <w:pStyle w:val="NoSpacing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A380F">
        <w:rPr>
          <w:rFonts w:ascii="Times New Roman" w:eastAsia="Times New Roman" w:hAnsi="Times New Roman" w:cs="Times New Roman"/>
          <w:sz w:val="22"/>
          <w:szCs w:val="22"/>
        </w:rPr>
        <w:br/>
      </w:r>
      <w:r w:rsidRPr="008A380F"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Nëse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perdorni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gazin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propan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butan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proofErr w:type="gram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jeni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kujdesëshem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se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çfar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bleni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treg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kerkoni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deklaracionin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lidhur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rregullsinë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bombolave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elemnteve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tjera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shtesë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ventilave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tubave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konsultohumi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paraprakisht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profesionistet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per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instalimin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tyre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>).</w:t>
      </w:r>
      <w:r w:rsidRPr="008A380F"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2F5FD9" w:rsidRPr="008A380F" w:rsidRDefault="002F5FD9" w:rsidP="002F5FD9">
      <w:pPr>
        <w:pStyle w:val="NoSpacing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A380F"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Kujdes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mbingarkesen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elektrike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nëse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perdorni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rrymen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për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ngrohje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kujdes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kabllot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vazhduese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cilat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perdorni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nuk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jan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adekuate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per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shpenzues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mëdhenj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konsultohuni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profesionistet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lidhur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lloin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kabllove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qe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duhet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perdorur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kontrolloni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instalimin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tuaj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elektrik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lidhur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rezistencen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tijë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tokëzimin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8A380F"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2F5FD9" w:rsidRPr="008A380F" w:rsidRDefault="002F5FD9" w:rsidP="002F5FD9">
      <w:pPr>
        <w:pStyle w:val="NoSpacing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A380F">
        <w:rPr>
          <w:rFonts w:ascii="Times New Roman" w:eastAsia="Times New Roman" w:hAnsi="Times New Roman" w:cs="Times New Roman"/>
          <w:b/>
          <w:sz w:val="22"/>
          <w:szCs w:val="22"/>
        </w:rPr>
        <w:t>4</w:t>
      </w:r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.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që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qytetin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tonë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fryen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erë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fortë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keni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kujdes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gjatë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luhatjeve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tension,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është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mirë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që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një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natë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nderpreni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rrymen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se </w:t>
      </w:r>
      <w:proofErr w:type="spellStart"/>
      <w:proofErr w:type="gramStart"/>
      <w:r w:rsidRPr="008A380F">
        <w:rPr>
          <w:rFonts w:ascii="Times New Roman" w:eastAsia="Times New Roman" w:hAnsi="Times New Roman" w:cs="Times New Roman"/>
          <w:sz w:val="22"/>
          <w:szCs w:val="22"/>
        </w:rPr>
        <w:t>sa</w:t>
      </w:r>
      <w:proofErr w:type="spellEnd"/>
      <w:proofErr w:type="gram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rrezikoni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jeten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pasurinë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tuaj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Luhatjet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tension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evidentoni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njoftoni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organet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A380F">
        <w:rPr>
          <w:rFonts w:ascii="Times New Roman" w:eastAsia="Times New Roman" w:hAnsi="Times New Roman" w:cs="Times New Roman"/>
          <w:sz w:val="22"/>
          <w:szCs w:val="22"/>
        </w:rPr>
        <w:t>përkatëse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KEDS-in)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mundesisht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shkrim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që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eliminohen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mangesitë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tilla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gramStart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rastin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nderprerjes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rrymes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shkyqini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shpenzuesit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nga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rrjeti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8A380F"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2F5FD9" w:rsidRPr="008A380F" w:rsidRDefault="002F5FD9" w:rsidP="002F5FD9">
      <w:pPr>
        <w:pStyle w:val="NoSpacing"/>
        <w:rPr>
          <w:rFonts w:ascii="Times New Roman" w:eastAsia="Times New Roman" w:hAnsi="Times New Roman" w:cs="Times New Roman"/>
          <w:sz w:val="22"/>
          <w:szCs w:val="22"/>
        </w:rPr>
      </w:pPr>
      <w:r w:rsidRPr="008A380F">
        <w:rPr>
          <w:rFonts w:ascii="Times New Roman" w:eastAsia="Times New Roman" w:hAnsi="Times New Roman" w:cs="Times New Roman"/>
          <w:b/>
          <w:sz w:val="22"/>
          <w:szCs w:val="22"/>
        </w:rPr>
        <w:t>5.</w:t>
      </w:r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Mos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lini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femijët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14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vjet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vetem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shtepi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sepse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mund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ndodhi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ndalet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rryma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kerkim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mjeteve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ndriquese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ata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mund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shkaktojnë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fatkeqësi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gjithashtu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ata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nuk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jan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vetëdijshem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perdorimin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gazit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paisjeve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tjera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familjare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rrezikshmeri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2F5FD9" w:rsidRPr="008A380F" w:rsidRDefault="002F5FD9" w:rsidP="002F5FD9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8A380F">
        <w:rPr>
          <w:rFonts w:ascii="Times New Roman" w:eastAsia="Times New Roman" w:hAnsi="Times New Roman" w:cs="Times New Roman"/>
          <w:sz w:val="22"/>
          <w:szCs w:val="22"/>
        </w:rPr>
        <w:br/>
      </w:r>
      <w:r w:rsidRPr="008A380F">
        <w:rPr>
          <w:rFonts w:ascii="Times New Roman" w:eastAsia="Times New Roman" w:hAnsi="Times New Roman" w:cs="Times New Roman"/>
          <w:b/>
          <w:sz w:val="22"/>
          <w:szCs w:val="22"/>
        </w:rPr>
        <w:t>6.</w:t>
      </w:r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Ju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që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ngroheni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me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ngrohje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qendrore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A380F">
        <w:rPr>
          <w:rFonts w:ascii="Times New Roman" w:eastAsia="Times New Roman" w:hAnsi="Times New Roman" w:cs="Times New Roman"/>
          <w:sz w:val="22"/>
          <w:szCs w:val="22"/>
        </w:rPr>
        <w:t>beni</w:t>
      </w:r>
      <w:proofErr w:type="spellEnd"/>
      <w:proofErr w:type="gram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një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kontrollë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aparataurave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stabilimenteve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nga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kalldaje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deri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gjitha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elementet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sigurisë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këtë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duhet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kryej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kompanija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cila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ka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autorizim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përkatës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kontrolli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kerkoni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një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dokument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mbi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rregullsinë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stabilimenteve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Kujdes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ne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kohen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kur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nuk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keni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rrymë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sepse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nëse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nuk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keni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burim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rezervë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proofErr w:type="gram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rrymes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atëher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kalldaja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mund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eksplodoi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nga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eastAsia="Times New Roman" w:hAnsi="Times New Roman" w:cs="Times New Roman"/>
          <w:sz w:val="22"/>
          <w:szCs w:val="22"/>
        </w:rPr>
        <w:t>presioni</w:t>
      </w:r>
      <w:proofErr w:type="spellEnd"/>
      <w:r w:rsidRPr="008A380F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8A380F">
        <w:rPr>
          <w:rFonts w:ascii="Times New Roman" w:eastAsia="Times New Roman" w:hAnsi="Times New Roman" w:cs="Times New Roman"/>
          <w:sz w:val="22"/>
          <w:szCs w:val="22"/>
        </w:rPr>
        <w:br/>
      </w:r>
      <w:proofErr w:type="gramStart"/>
      <w:r w:rsidRPr="008A380F">
        <w:rPr>
          <w:rFonts w:ascii="Times New Roman" w:hAnsi="Times New Roman" w:cs="Times New Roman"/>
          <w:sz w:val="22"/>
          <w:szCs w:val="22"/>
        </w:rPr>
        <w:t xml:space="preserve">Jan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disa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keshillat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qe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ju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mund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ti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aplikoni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njëjten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kohë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kontriboni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sigurinë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tuaj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familjare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A380F">
        <w:rPr>
          <w:rFonts w:ascii="Times New Roman" w:hAnsi="Times New Roman" w:cs="Times New Roman"/>
          <w:sz w:val="22"/>
          <w:szCs w:val="22"/>
        </w:rPr>
        <w:t>kolektive</w:t>
      </w:r>
      <w:proofErr w:type="spellEnd"/>
      <w:r w:rsidRPr="008A380F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834A4" w:rsidRDefault="004834A4" w:rsidP="002F5FD9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A380F" w:rsidRPr="004834A4" w:rsidRDefault="004834A4" w:rsidP="002F5FD9">
      <w:pPr>
        <w:rPr>
          <w:rFonts w:ascii="Times New Roman" w:hAnsi="Times New Roman" w:cs="Times New Roman"/>
          <w:b/>
          <w:sz w:val="22"/>
          <w:szCs w:val="22"/>
        </w:rPr>
      </w:pPr>
      <w:r w:rsidRPr="004834A4">
        <w:rPr>
          <w:rFonts w:ascii="Times New Roman" w:hAnsi="Times New Roman" w:cs="Times New Roman"/>
          <w:b/>
          <w:sz w:val="22"/>
          <w:szCs w:val="22"/>
        </w:rPr>
        <w:t xml:space="preserve">Me </w:t>
      </w:r>
      <w:proofErr w:type="spellStart"/>
      <w:r w:rsidRPr="004834A4">
        <w:rPr>
          <w:rFonts w:ascii="Times New Roman" w:hAnsi="Times New Roman" w:cs="Times New Roman"/>
          <w:b/>
          <w:sz w:val="22"/>
          <w:szCs w:val="22"/>
        </w:rPr>
        <w:t>respek</w:t>
      </w:r>
      <w:r w:rsidR="008A380F" w:rsidRPr="004834A4">
        <w:rPr>
          <w:rFonts w:ascii="Times New Roman" w:hAnsi="Times New Roman" w:cs="Times New Roman"/>
          <w:b/>
          <w:sz w:val="22"/>
          <w:szCs w:val="22"/>
        </w:rPr>
        <w:t>t</w:t>
      </w:r>
      <w:proofErr w:type="spellEnd"/>
      <w:r w:rsidR="008A380F" w:rsidRPr="004834A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8A380F" w:rsidRPr="004834A4">
        <w:rPr>
          <w:rFonts w:ascii="Times New Roman" w:hAnsi="Times New Roman" w:cs="Times New Roman"/>
          <w:b/>
          <w:sz w:val="22"/>
          <w:szCs w:val="22"/>
        </w:rPr>
        <w:t>nga</w:t>
      </w:r>
      <w:proofErr w:type="spellEnd"/>
      <w:r w:rsidR="008A380F" w:rsidRPr="004834A4">
        <w:rPr>
          <w:rFonts w:ascii="Times New Roman" w:hAnsi="Times New Roman" w:cs="Times New Roman"/>
          <w:b/>
          <w:sz w:val="22"/>
          <w:szCs w:val="22"/>
        </w:rPr>
        <w:t xml:space="preserve"> NJPZSH</w:t>
      </w:r>
    </w:p>
    <w:p w:rsidR="008A380F" w:rsidRDefault="008A380F" w:rsidP="002F5FD9">
      <w:pPr>
        <w:rPr>
          <w:rFonts w:ascii="Times New Roman" w:hAnsi="Times New Roman" w:cs="Times New Roman"/>
          <w:sz w:val="22"/>
          <w:szCs w:val="22"/>
        </w:rPr>
      </w:pPr>
    </w:p>
    <w:p w:rsidR="008A380F" w:rsidRDefault="008A380F" w:rsidP="002F5F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Insp. </w:t>
      </w:r>
      <w:proofErr w:type="spellStart"/>
      <w:r>
        <w:rPr>
          <w:rFonts w:ascii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parandalimit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Drejtori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380F" w:rsidRDefault="008A380F" w:rsidP="002F5F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Haki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>
        <w:rPr>
          <w:rFonts w:ascii="Times New Roman" w:hAnsi="Times New Roman" w:cs="Times New Roman"/>
          <w:sz w:val="22"/>
          <w:szCs w:val="22"/>
        </w:rPr>
        <w:t>Belaj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Enver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>
        <w:rPr>
          <w:rFonts w:ascii="Times New Roman" w:hAnsi="Times New Roman" w:cs="Times New Roman"/>
          <w:sz w:val="22"/>
          <w:szCs w:val="22"/>
        </w:rPr>
        <w:t>Rugova</w:t>
      </w:r>
      <w:proofErr w:type="spellEnd"/>
    </w:p>
    <w:p w:rsidR="008A380F" w:rsidRPr="008A380F" w:rsidRDefault="008A380F" w:rsidP="002F5F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                                                                                          ________________</w:t>
      </w:r>
    </w:p>
    <w:sectPr w:rsidR="008A380F" w:rsidRPr="008A380F" w:rsidSect="0065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AC0AB8"/>
    <w:lvl w:ilvl="0">
      <w:numFmt w:val="bullet"/>
      <w:lvlText w:val="*"/>
      <w:lvlJc w:val="left"/>
    </w:lvl>
  </w:abstractNum>
  <w:abstractNum w:abstractNumId="1">
    <w:nsid w:val="1EEE4A1A"/>
    <w:multiLevelType w:val="hybridMultilevel"/>
    <w:tmpl w:val="05A61F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7A6CD8"/>
    <w:multiLevelType w:val="hybridMultilevel"/>
    <w:tmpl w:val="E1D6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44B80"/>
    <w:multiLevelType w:val="hybridMultilevel"/>
    <w:tmpl w:val="5F14DAE8"/>
    <w:lvl w:ilvl="0" w:tplc="0409000F">
      <w:start w:val="1"/>
      <w:numFmt w:val="decimal"/>
      <w:lvlText w:val="%1."/>
      <w:lvlJc w:val="left"/>
      <w:pPr>
        <w:ind w:left="2950" w:hanging="360"/>
      </w:pPr>
    </w:lvl>
    <w:lvl w:ilvl="1" w:tplc="04090019" w:tentative="1">
      <w:start w:val="1"/>
      <w:numFmt w:val="lowerLetter"/>
      <w:lvlText w:val="%2."/>
      <w:lvlJc w:val="left"/>
      <w:pPr>
        <w:ind w:left="3670" w:hanging="360"/>
      </w:pPr>
    </w:lvl>
    <w:lvl w:ilvl="2" w:tplc="0409001B" w:tentative="1">
      <w:start w:val="1"/>
      <w:numFmt w:val="lowerRoman"/>
      <w:lvlText w:val="%3."/>
      <w:lvlJc w:val="right"/>
      <w:pPr>
        <w:ind w:left="4390" w:hanging="180"/>
      </w:pPr>
    </w:lvl>
    <w:lvl w:ilvl="3" w:tplc="0409000F" w:tentative="1">
      <w:start w:val="1"/>
      <w:numFmt w:val="decimal"/>
      <w:lvlText w:val="%4."/>
      <w:lvlJc w:val="left"/>
      <w:pPr>
        <w:ind w:left="5110" w:hanging="360"/>
      </w:pPr>
    </w:lvl>
    <w:lvl w:ilvl="4" w:tplc="04090019" w:tentative="1">
      <w:start w:val="1"/>
      <w:numFmt w:val="lowerLetter"/>
      <w:lvlText w:val="%5."/>
      <w:lvlJc w:val="left"/>
      <w:pPr>
        <w:ind w:left="5830" w:hanging="360"/>
      </w:pPr>
    </w:lvl>
    <w:lvl w:ilvl="5" w:tplc="0409001B" w:tentative="1">
      <w:start w:val="1"/>
      <w:numFmt w:val="lowerRoman"/>
      <w:lvlText w:val="%6."/>
      <w:lvlJc w:val="right"/>
      <w:pPr>
        <w:ind w:left="6550" w:hanging="180"/>
      </w:pPr>
    </w:lvl>
    <w:lvl w:ilvl="6" w:tplc="0409000F" w:tentative="1">
      <w:start w:val="1"/>
      <w:numFmt w:val="decimal"/>
      <w:lvlText w:val="%7."/>
      <w:lvlJc w:val="left"/>
      <w:pPr>
        <w:ind w:left="7270" w:hanging="360"/>
      </w:pPr>
    </w:lvl>
    <w:lvl w:ilvl="7" w:tplc="04090019" w:tentative="1">
      <w:start w:val="1"/>
      <w:numFmt w:val="lowerLetter"/>
      <w:lvlText w:val="%8."/>
      <w:lvlJc w:val="left"/>
      <w:pPr>
        <w:ind w:left="7990" w:hanging="360"/>
      </w:pPr>
    </w:lvl>
    <w:lvl w:ilvl="8" w:tplc="0409001B" w:tentative="1">
      <w:start w:val="1"/>
      <w:numFmt w:val="lowerRoman"/>
      <w:lvlText w:val="%9."/>
      <w:lvlJc w:val="right"/>
      <w:pPr>
        <w:ind w:left="8710" w:hanging="180"/>
      </w:pPr>
    </w:lvl>
  </w:abstractNum>
  <w:abstractNum w:abstractNumId="4">
    <w:nsid w:val="78773A3D"/>
    <w:multiLevelType w:val="singleLevel"/>
    <w:tmpl w:val="F9863A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7BBD61BD"/>
    <w:multiLevelType w:val="hybridMultilevel"/>
    <w:tmpl w:val="9946B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23BF5"/>
    <w:multiLevelType w:val="hybridMultilevel"/>
    <w:tmpl w:val="AC886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F217BF"/>
    <w:rsid w:val="0000656B"/>
    <w:rsid w:val="00017A95"/>
    <w:rsid w:val="00050075"/>
    <w:rsid w:val="00052B67"/>
    <w:rsid w:val="00070942"/>
    <w:rsid w:val="00115265"/>
    <w:rsid w:val="00195137"/>
    <w:rsid w:val="001A157A"/>
    <w:rsid w:val="001F1200"/>
    <w:rsid w:val="00251BF2"/>
    <w:rsid w:val="0026321A"/>
    <w:rsid w:val="002E6F20"/>
    <w:rsid w:val="002F5FD9"/>
    <w:rsid w:val="003A4E6B"/>
    <w:rsid w:val="004834A4"/>
    <w:rsid w:val="004B7503"/>
    <w:rsid w:val="00653108"/>
    <w:rsid w:val="006778BD"/>
    <w:rsid w:val="0069226F"/>
    <w:rsid w:val="006A63FF"/>
    <w:rsid w:val="006F132B"/>
    <w:rsid w:val="00774DA9"/>
    <w:rsid w:val="007D70B0"/>
    <w:rsid w:val="007E25FE"/>
    <w:rsid w:val="008056F7"/>
    <w:rsid w:val="008A380F"/>
    <w:rsid w:val="00A6769A"/>
    <w:rsid w:val="00A931E3"/>
    <w:rsid w:val="00AC4E19"/>
    <w:rsid w:val="00B41D57"/>
    <w:rsid w:val="00B46454"/>
    <w:rsid w:val="00B76C60"/>
    <w:rsid w:val="00BB4C61"/>
    <w:rsid w:val="00BF48CB"/>
    <w:rsid w:val="00C27C57"/>
    <w:rsid w:val="00C501DB"/>
    <w:rsid w:val="00C53659"/>
    <w:rsid w:val="00D448B6"/>
    <w:rsid w:val="00D77C92"/>
    <w:rsid w:val="00D96855"/>
    <w:rsid w:val="00DB7485"/>
    <w:rsid w:val="00DB7EC8"/>
    <w:rsid w:val="00F02817"/>
    <w:rsid w:val="00F2019D"/>
    <w:rsid w:val="00F2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BF"/>
    <w:pPr>
      <w:widowControl w:val="0"/>
      <w:overflowPunct w:val="0"/>
      <w:autoSpaceDE w:val="0"/>
      <w:autoSpaceDN w:val="0"/>
      <w:adjustRightInd w:val="0"/>
    </w:pPr>
    <w:rPr>
      <w:rFonts w:ascii="Tahoma" w:hAnsi="Tahoma" w:cs="Tahoma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217BF"/>
    <w:pPr>
      <w:widowControl/>
      <w:overflowPunct/>
      <w:autoSpaceDE/>
      <w:autoSpaceDN/>
      <w:adjustRightInd/>
      <w:spacing w:line="336" w:lineRule="atLeast"/>
    </w:pPr>
    <w:rPr>
      <w:kern w:val="0"/>
      <w:sz w:val="18"/>
      <w:szCs w:val="18"/>
    </w:rPr>
  </w:style>
  <w:style w:type="table" w:styleId="TableGrid">
    <w:name w:val="Table Grid"/>
    <w:basedOn w:val="TableNormal"/>
    <w:rsid w:val="00F21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5365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659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C501DB"/>
    <w:pPr>
      <w:ind w:left="720"/>
      <w:contextualSpacing/>
    </w:pPr>
  </w:style>
  <w:style w:type="character" w:customStyle="1" w:styleId="fontstyle01">
    <w:name w:val="fontstyle01"/>
    <w:basedOn w:val="DefaultParagraphFont"/>
    <w:rsid w:val="002F5F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2F5FD9"/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s-gov.net/pm/Portals/0/Logot/Stema%20(100px)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459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3293</CharactersWithSpaces>
  <SharedDoc>false</SharedDoc>
  <HLinks>
    <vt:vector size="6" baseType="variant">
      <vt:variant>
        <vt:i4>6094852</vt:i4>
      </vt:variant>
      <vt:variant>
        <vt:i4>-1</vt:i4>
      </vt:variant>
      <vt:variant>
        <vt:i4>1027</vt:i4>
      </vt:variant>
      <vt:variant>
        <vt:i4>1</vt:i4>
      </vt:variant>
      <vt:variant>
        <vt:lpwstr>http://www.ks-gov.net/pm/Portals/0/Logot/Stema%20(100px).jpg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imeraj</dc:creator>
  <cp:keywords/>
  <dc:description/>
  <cp:lastModifiedBy>naser.nimanaj</cp:lastModifiedBy>
  <cp:revision>6</cp:revision>
  <cp:lastPrinted>2018-12-13T13:30:00Z</cp:lastPrinted>
  <dcterms:created xsi:type="dcterms:W3CDTF">2018-12-13T11:24:00Z</dcterms:created>
  <dcterms:modified xsi:type="dcterms:W3CDTF">2018-12-13T13:30:00Z</dcterms:modified>
</cp:coreProperties>
</file>